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23 89 vom 14. Februar 2024</w:t>
      </w:r>
    </w:p>
    <w:p>
      <w:r>
        <w:t>VS Kantonsgericht, 2024-02-14, DE</w:t>
      </w:r>
    </w:p>
    <w:p>
      <w:r>
        <w:rPr>
          <w:b/>
        </w:rPr>
        <w:t xml:space="preserve">Quelle: </w:t>
      </w:r>
      <w:r>
        <w:t>https://mcp.opencaselaw.ch/entscheid/vs_gerichte_S2 23 89</w:t>
      </w:r>
    </w:p>
    <w:p>
      <w:r>
        <w:t>FR: VS_GERICHTE S2 23 89 du 14 février 2024</w:t>
      </w:r>
    </w:p>
    <w:p>
      <w:r>
        <w:t>IT: VS_GERICHTE S2 23 89 del 14 febbraio 2024</w:t>
      </w:r>
    </w:p>
    <w:p>
      <w:pPr>
        <w:pStyle w:val="Heading2"/>
      </w:pPr>
      <w:r>
        <w:t>Regeste</w:t>
      </w:r>
    </w:p>
    <w:p>
      <w:r>
        <w:t>S2 23 89 URTEIL VOM 14. FEBRUAR 2024 Kantonsgericht Wallis Sozialversicherungsrechtliche Abteilung Besetzung: Michael Steiner, Präsident; Candido Prada und Dr. Thierry Schnyder, Kantonsrichter; Renata Kreuzer, Gerichtsschreiberin in Sachen X _________, Beschwerdeführer, vertreten durch Rechtsanwalt Nicolas Kuonen, Visp gegen SCHWEIZERISCHE UNFALLVERSICHERUNG (SUVA), Beschwerde-gegnerin (Unfallversicherung; Invalidenrente; Invalideneinkommen) Beschwerde gegen den Entscheid vom 21. August 2023</w:t>
      </w:r>
    </w:p>
    <w:p>
      <w:pPr>
        <w:pStyle w:val="Heading2"/>
      </w:pPr>
      <w:r>
        <w:t>Erwägungen</w:t>
      </w:r>
    </w:p>
    <w:p>
      <w:r>
        <w:rPr>
          <w:b/>
        </w:rPr>
        <w:t>E. 1</w:t>
      </w:r>
    </w:p>
    <w:p>
      <w:r>
        <w:t>Gemäss Art. 1 Abs. 1 UVG sind die Bestimmungen des ATSG auf die Unfallversicherung anwendbar, soweit das UVG nicht ausdrücklich etwas anderes bestimmt. Das Kantonsgericht prüft die Prozessvoraussetzungen, namentlich die Partei- und Prozessfähigkeit, die Zulässigkeit des Rechtsweges, die Zuständigkeit der angerufenen Instanz, das Rechtsschutzinteresse sowie die formrichtige und rechtzeitige</w:t>
      </w:r>
    </w:p>
    <w:p>
      <w:r>
        <w:t>- 5 - Rechtsvorkehr von Amtes wegen (BGE 131 V 202 E. 1, 130 V 514 E. 1 und 126 V 30). Der Beschwerdeführer wohnt im Oberwallis, weshalb die Sozialversicherungsrechtliche Abteilung des Kantonsgerichts gestützt auf Art. 7 Abs. 2 RPflG, Art. 58 Abs. 1 ATSG i.V.m. Art. 1 Abs. 2 RVG und Art. 81a VVRG als kantonales Versicherungsgericht für die Behandlung von Beschwerden auf dem Gebiet des Sozialversicherungsrechts zuständig ist (vgl. BGE 127 V 176 E. 2). Der Beschwerdeführer ist durch den Einspracheentscheid berührt und hat ein schutzwürdiges Interesse an dessen Aufhebung, weshalb auf seine form- und fristgerecht eingereichte Beschwerde einzutreten ist (Art. 59, Art. 60 i.V.m. Art. 38 ATSG).</w:t>
      </w:r>
    </w:p>
    <w:p>
      <w:r>
        <w:rPr>
          <w:b/>
        </w:rPr>
        <w:t>E. 2.1</w:t>
      </w:r>
    </w:p>
    <w:p>
      <w:r>
        <w:t>Die Beschwerdeinstanz hat nicht zu prüfen, ob sich der angefochtene Entscheid unter schlechthin allen in Frage kommenden Aspekten als korrekt erweist, sondern im Prinzip nur die vorgebrachten Beanstandungen zu untersuchen (Rügeprinzip). Von den Verfahrensbeteiligten nicht aufgeworfene Rechtsfragen werden von der Beschwerdeinstanz nur geprüft, wenn hierzu aufgrund der Parteivorbringen oder anderer sich aus den Akten ergebender Anhaltspunkte hinreichend Anlass besteht (BGE 119 V 347 E. 1a).</w:t>
      </w:r>
    </w:p>
    <w:p>
      <w:r>
        <w:rPr>
          <w:b/>
        </w:rPr>
        <w:t>E. 2.2</w:t>
      </w:r>
    </w:p>
    <w:p>
      <w:r>
        <w:t>Streitig und zu prüfen ist zuerst der Zeitpunkt des Fallabschlusses und in einem zweiten Schritt gegebenenfalls der Grad der Restarbeitsfähigkeit, die Invaliditäts- bemessung sowie die Höhe des Integritätsschadens.</w:t>
      </w:r>
    </w:p>
    <w:p>
      <w:r>
        <w:rPr>
          <w:b/>
        </w:rPr>
        <w:t>E. 3</w:t>
      </w:r>
    </w:p>
    <w:p>
      <w:r>
        <w:t>Dezember 2019 E. 4.1).</w:t>
      </w:r>
    </w:p>
    <w:p>
      <w:r>
        <w:rPr>
          <w:b/>
        </w:rPr>
        <w:t>E. 4</w:t>
      </w:r>
    </w:p>
    <w:p>
      <w:r>
        <w:t>Für das gesamte Verwaltungs- und Verwaltungsgerichtsbeschwerdeverfahren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vom wem sie stammen, objektiv zu prüfen und danach zu entscheiden hat, ob die verfügbaren Unterlagen eine zuverlässige Beurteilung des streitigen Rechtsanspruches gestatten. Insbesondere darf er bei sich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des Experten begründet sind (RKUV 1991 Nr. U 133 S. 312 f.). Ausschlaggebend für den Beweiswert ist grundsätzlich somit weder die Herkunft eines Beweismittels noch die Bezeichnung der eingereichten oder in Auftrag gegebenen Stellungnahme als Bericht oder Gutachten (BGE 134 V 231 E. 5.1, 125 V 351 E. 3a mit Hinweis).</w:t>
      </w:r>
    </w:p>
    <w:p>
      <w:r>
        <w:rPr>
          <w:b/>
        </w:rPr>
        <w:t>E. 5.1</w:t>
      </w:r>
    </w:p>
    <w:p>
      <w:r>
        <w:t>Der Beschwerdeführer erlitt beim Unfall vom 12. November 2019 objektiv ausgewiesene Frakturen am rechten Oberschenkel und am rechten Mittelfuss, die mehrere Operationen und Behandlungen nach sich zogen. Gemäss der Beurteilung der Klinik Bellikon war die angestammte Tätigkeit auf dem Bau aus unfallkausaler Sicht nicht mehr zumutbar. Deshalb wurde die Abklärung von Eingliederungsmassnahmen empfohlen (a.a.O. Dok. 259). Aus einer Telefonnotiz der SUVA mit der IV vom 25. Mai 2023 (a.a.O. Dok. 496) ergibt sich, dass ein Arbeitsversuch laufe. Obwohl es sich um Arbeit auf der Baustelle handle, habe berücksichtigt werden können, dass der Versicherte nur auf ebener Unterlage arbeite. So habe eine Leistungsfähigkeit von ca. 70% erreicht werden können. Der Betrieb werde die Ausbildung für das Kranführerpermis finanzieren. Der weitere Verlauf sei abzuwarten. Die IV sprach Taggelder für die vertiefte Klärung der Berufsausrichtung (a.a.O. Dok. 487 und 502). Der</w:t>
      </w:r>
    </w:p>
    <w:p>
      <w:r>
        <w:t>- 7 - Hausarzt des Beschwerdeführers schickte diesen zur Einholung einer Zweitmeinung in die Sprechstunde Fusschirurgie des Inselspitals. Die Untersuchung fand am 3. April 2023 statt (a.a.O. Dok. 489). Es wurde eine Umschulung empfohlen und aus fussorthopädischer Sicht festgestellt, die Ausübung einer angepassten Tätigkeit sei zu 50 bis 70% zumutbar. Zudem empfahl die beurteilende Fussorthopädin die Einholung eines Gutachtens.</w:t>
      </w:r>
    </w:p>
    <w:p>
      <w:r>
        <w:rPr>
          <w:b/>
        </w:rPr>
        <w:t>E. 5.2</w:t>
      </w:r>
    </w:p>
    <w:p>
      <w:r>
        <w:t>Die SUVA darf ihre vorübergehenden Leistungen ohne Abwarten des Abschlusses allfälliger Eingliederungsmassnahmen der IV abschliessen, soweit es um berufliche Massnahmen geht, welche sich ausschliesslich auf Vorkehren beziehen, welche nicht geeignet sind, den der Invalidenrente der Unfallversicherung zugrunde zu legenden Invaliditätsgrad zu beeinflussen (Bundesgerichtsurteil 8C_374/2021 vom 13. August 2021 E. 4.3.1). Aus den obenstehenden Darlegungen ergeben sich zumindest ernstzunehmende Zweifel an einer vollen Arbeitsfähigkeit des Beschwerdeführers in einer angepassten Tätigkeit. Diesbezügliche Abklärungen der Invalidenversicherung waren zum Zeitpunkt der Verfügung vom 21. März 2023 im Gange und deren Ausgang kann durchaus dazu geeignet sein, Auswirkungen auf den Invaliditätsgrad der Unfallversicherung zu haben.</w:t>
      </w:r>
    </w:p>
    <w:p>
      <w:r>
        <w:rPr>
          <w:b/>
        </w:rPr>
        <w:t>E. 6</w:t>
      </w:r>
    </w:p>
    <w:p>
      <w:r>
        <w:t>Nach dem Gesagten ist festzustellen, dass der Fallabschluss verfrüht erfolgt ist. Die Beschwerde ist in diesem Sinne gutzuheissen und die Sache ist zur Fortführung an die SUVA zurückzuweisen.</w:t>
      </w:r>
    </w:p>
    <w:p>
      <w:r>
        <w:rPr>
          <w:b/>
        </w:rPr>
        <w:t>E. 7.1</w:t>
      </w:r>
    </w:p>
    <w:p>
      <w:r>
        <w:t>Das Verfahren ist, von hier nicht massgebenden Ausnahmen abgesehen, kostenlos.</w:t>
      </w:r>
    </w:p>
    <w:p>
      <w:r>
        <w:rPr>
          <w:b/>
        </w:rPr>
        <w:t>E. 7.2</w:t>
      </w:r>
    </w:p>
    <w:p>
      <w:r>
        <w:t>Dem obsiegenden Kläger steht eine Parteientschädigung zu. Das Gericht setzt diese unter Würdigung der Bedeutung und Schwierigkeit der Streitsache, des Umfangs der Arbeitsleistung sowie der durch den Rechtstreit entstandenen Auslagen auf CHF 1’800 (inkl. Auslagen und Mehrwertsteuer) fest (Art. 40 Abs. 1 GTar).</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